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0B" w:rsidRPr="00CE6B0B" w:rsidRDefault="00CE6B0B" w:rsidP="00CE6B0B">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CE6B0B">
        <w:rPr>
          <w:rFonts w:ascii="Tahoma" w:eastAsia="Times New Roman" w:hAnsi="Tahoma" w:cs="Tahoma"/>
          <w:b/>
          <w:bCs/>
          <w:color w:val="000000"/>
          <w:sz w:val="36"/>
          <w:szCs w:val="36"/>
        </w:rPr>
        <w:t>Методические материалы Минобороны России</w:t>
      </w:r>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5" w:tgtFrame="_blank" w:history="1">
        <w:r w:rsidR="00CE6B0B" w:rsidRPr="00CE6B0B">
          <w:rPr>
            <w:rFonts w:ascii="Tahoma" w:eastAsia="Times New Roman" w:hAnsi="Tahoma" w:cs="Tahoma"/>
            <w:color w:val="0070B7"/>
            <w:sz w:val="21"/>
          </w:rPr>
          <w:t>Рекомендации по заполнению формы мониторинга деятельности аттестационных комиссий, на заседаниях которых рассматривались вопросы, связанные с выполнением военнослужащими требований антикоррупционного законодательства</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6" w:tgtFrame="_blank" w:history="1">
        <w:r w:rsidR="00CE6B0B" w:rsidRPr="00CE6B0B">
          <w:rPr>
            <w:rFonts w:ascii="Tahoma" w:eastAsia="Times New Roman" w:hAnsi="Tahoma" w:cs="Tahoma"/>
            <w:color w:val="0070B7"/>
            <w:sz w:val="21"/>
          </w:rPr>
          <w:t>Рекомендации по подбору кадров на должности, связанные с распоряжением материальными средствами и осуществлением организационно-распорядительных полномочий</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7" w:tgtFrame="_blank" w:history="1">
        <w:r w:rsidR="00CE6B0B" w:rsidRPr="00CE6B0B">
          <w:rPr>
            <w:rFonts w:ascii="Tahoma" w:eastAsia="Times New Roman" w:hAnsi="Tahoma" w:cs="Tahoma"/>
            <w:color w:val="0070B7"/>
            <w:sz w:val="21"/>
          </w:rPr>
          <w:t>Методические рекомендации по организации в Министерстве обороны Российской Федерации мероприятий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8" w:tgtFrame="_blank" w:history="1">
        <w:r w:rsidR="00CE6B0B" w:rsidRPr="00CE6B0B">
          <w:rPr>
            <w:rFonts w:ascii="Tahoma" w:eastAsia="Times New Roman" w:hAnsi="Tahoma" w:cs="Tahoma"/>
            <w:color w:val="0070B7"/>
            <w:sz w:val="21"/>
          </w:rPr>
          <w:t>Методические рекомендации об организации работы руководящих должностных лиц по обеспечению выполнения требований законодательства Российской Федерации о противодействии коррупции в органах военного управления, объединениях, соединениях, воинских частях, военных комиссариатах и организациях Вооруженных Сил Российской Федерации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9" w:tgtFrame="_blank" w:history="1">
        <w:r w:rsidR="00CE6B0B" w:rsidRPr="00CE6B0B">
          <w:rPr>
            <w:rFonts w:ascii="Tahoma" w:eastAsia="Times New Roman" w:hAnsi="Tahoma" w:cs="Tahoma"/>
            <w:color w:val="0070B7"/>
            <w:sz w:val="21"/>
          </w:rPr>
          <w:t>Методические рекомендации по порядку проведения разбирательства по фактам дисциплинарных проступков коррупционной направленности, совершенных военнослужащими Вооруженных Сил Российской Федерации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10" w:tgtFrame="_blank" w:history="1">
        <w:r w:rsidR="00CE6B0B" w:rsidRPr="00CE6B0B">
          <w:rPr>
            <w:rFonts w:ascii="Tahoma" w:eastAsia="Times New Roman" w:hAnsi="Tahoma" w:cs="Tahoma"/>
            <w:color w:val="0070B7"/>
            <w:sz w:val="21"/>
          </w:rPr>
          <w:t>Методические рекомендации по заполнению справки о доходах, расходах, об имуществе и обязательствах имущественного характера в Министерстве обороны Российской Федерации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11" w:tgtFrame="_blank" w:history="1">
        <w:r w:rsidR="00CE6B0B" w:rsidRPr="00CE6B0B">
          <w:rPr>
            <w:rFonts w:ascii="Tahoma" w:eastAsia="Times New Roman" w:hAnsi="Tahoma" w:cs="Tahoma"/>
            <w:color w:val="0070B7"/>
            <w:sz w:val="21"/>
          </w:rPr>
          <w:t>Методические рекомендации по проведению проверки достоверности и полноты сведений, представляемых гражданами и военнослужащими, претендующими на замещение должностей военной службы, и военнослужащими,</w:t>
        </w:r>
        <w:r w:rsidR="003B447E">
          <w:rPr>
            <w:rFonts w:ascii="Tahoma" w:eastAsia="Times New Roman" w:hAnsi="Tahoma" w:cs="Tahoma"/>
            <w:color w:val="0070B7"/>
            <w:sz w:val="21"/>
          </w:rPr>
          <w:t xml:space="preserve"> </w:t>
        </w:r>
        <w:r w:rsidR="00CE6B0B" w:rsidRPr="00CE6B0B">
          <w:rPr>
            <w:rFonts w:ascii="Tahoma" w:eastAsia="Times New Roman" w:hAnsi="Tahoma" w:cs="Tahoma"/>
            <w:color w:val="0070B7"/>
            <w:sz w:val="21"/>
          </w:rPr>
          <w:t xml:space="preserve">проходящими военную службу по контракту в Министерстве обороны Российской </w:t>
        </w:r>
        <w:proofErr w:type="spellStart"/>
        <w:r w:rsidR="00CE6B0B" w:rsidRPr="00CE6B0B">
          <w:rPr>
            <w:rFonts w:ascii="Tahoma" w:eastAsia="Times New Roman" w:hAnsi="Tahoma" w:cs="Tahoma"/>
            <w:color w:val="0070B7"/>
            <w:sz w:val="21"/>
          </w:rPr>
          <w:t>Федерации</w:t>
        </w:r>
        <w:proofErr w:type="gramStart"/>
        <w:r w:rsidR="00CE6B0B" w:rsidRPr="00CE6B0B">
          <w:rPr>
            <w:rFonts w:ascii="Tahoma" w:eastAsia="Times New Roman" w:hAnsi="Tahoma" w:cs="Tahoma"/>
            <w:color w:val="0070B7"/>
            <w:sz w:val="21"/>
          </w:rPr>
          <w:t>,и</w:t>
        </w:r>
        <w:proofErr w:type="spellEnd"/>
        <w:proofErr w:type="gramEnd"/>
        <w:r w:rsidR="00CE6B0B" w:rsidRPr="00CE6B0B">
          <w:rPr>
            <w:rFonts w:ascii="Tahoma" w:eastAsia="Times New Roman" w:hAnsi="Tahoma" w:cs="Tahoma"/>
            <w:color w:val="0070B7"/>
            <w:sz w:val="21"/>
          </w:rPr>
          <w:t xml:space="preserve"> соблюдения военнослужащими требований к служебному поведению</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12" w:tgtFrame="_blank" w:history="1">
        <w:r w:rsidR="00CE6B0B" w:rsidRPr="00CE6B0B">
          <w:rPr>
            <w:rFonts w:ascii="Tahoma" w:eastAsia="Times New Roman" w:hAnsi="Tahoma" w:cs="Tahoma"/>
            <w:color w:val="0070B7"/>
            <w:sz w:val="21"/>
          </w:rPr>
          <w:t>Методические рекомендации по оценке эффективности деятельности должностных лиц органов военного управления, объединений, соединений, воинских частей, учреждений, организаций, кадровых органов (ответственных за работу по профилактике коррупционных и иных правонарушений) по противодействию коррупции и алгоритм их применения</w:t>
        </w:r>
      </w:hyperlink>
    </w:p>
    <w:p w:rsidR="00CE6B0B" w:rsidRDefault="00B96FAE" w:rsidP="00CE6B0B">
      <w:pPr>
        <w:shd w:val="clear" w:color="auto" w:fill="FFFFFF"/>
        <w:spacing w:before="100" w:beforeAutospacing="1" w:after="461" w:line="323" w:lineRule="atLeast"/>
        <w:jc w:val="both"/>
        <w:rPr>
          <w:rFonts w:ascii="Tahoma" w:eastAsia="Times New Roman" w:hAnsi="Tahoma" w:cs="Tahoma"/>
          <w:color w:val="0070B7"/>
          <w:sz w:val="21"/>
        </w:rPr>
      </w:pPr>
      <w:hyperlink r:id="rId13" w:tgtFrame="_blank" w:history="1">
        <w:r w:rsidR="00CE6B0B" w:rsidRPr="00CE6B0B">
          <w:rPr>
            <w:rFonts w:ascii="Tahoma" w:eastAsia="Times New Roman" w:hAnsi="Tahoma" w:cs="Tahoma"/>
            <w:color w:val="0070B7"/>
            <w:sz w:val="21"/>
          </w:rPr>
          <w:t>Методические рекомендации по применению типовых ситуаций конфликта интересов в Вооруженных Силах Российской Федерации</w:t>
        </w:r>
      </w:hyperlink>
    </w:p>
    <w:p w:rsidR="00BE639A" w:rsidRPr="00CE6B0B" w:rsidRDefault="00BE639A" w:rsidP="00CE6B0B">
      <w:pPr>
        <w:shd w:val="clear" w:color="auto" w:fill="FFFFFF"/>
        <w:spacing w:before="100" w:beforeAutospacing="1" w:after="461" w:line="323" w:lineRule="atLeast"/>
        <w:jc w:val="both"/>
        <w:rPr>
          <w:rFonts w:ascii="Tahoma" w:eastAsia="Times New Roman" w:hAnsi="Tahoma" w:cs="Tahoma"/>
          <w:color w:val="000000"/>
          <w:sz w:val="21"/>
          <w:szCs w:val="21"/>
        </w:rPr>
      </w:pPr>
    </w:p>
    <w:p w:rsidR="00BE639A" w:rsidRDefault="00B96FAE" w:rsidP="00BE639A">
      <w:pPr>
        <w:shd w:val="clear" w:color="auto" w:fill="FFFFFF"/>
        <w:spacing w:before="100" w:beforeAutospacing="1" w:after="461" w:line="323" w:lineRule="atLeast"/>
        <w:jc w:val="both"/>
        <w:rPr>
          <w:rFonts w:ascii="Tahoma" w:eastAsia="Times New Roman" w:hAnsi="Tahoma" w:cs="Tahoma"/>
          <w:color w:val="0070B7"/>
          <w:sz w:val="21"/>
        </w:rPr>
      </w:pPr>
      <w:hyperlink r:id="rId14" w:tgtFrame="_blank" w:history="1">
        <w:r w:rsidR="00CE6B0B" w:rsidRPr="00CE6B0B">
          <w:rPr>
            <w:rFonts w:ascii="Tahoma" w:eastAsia="Times New Roman" w:hAnsi="Tahoma" w:cs="Tahoma"/>
            <w:color w:val="0070B7"/>
            <w:sz w:val="21"/>
          </w:rPr>
          <w:t xml:space="preserve">Памятка в помощь должностным лицам по формированию у подчиненного личного состава чувства неприятия коррупции во всех ее формах и проявлениях и привития антикоррупционного типа поведения и навыков противодействия </w:t>
        </w:r>
        <w:proofErr w:type="spellStart"/>
        <w:r w:rsidR="00CE6B0B" w:rsidRPr="00CE6B0B">
          <w:rPr>
            <w:rFonts w:ascii="Tahoma" w:eastAsia="Times New Roman" w:hAnsi="Tahoma" w:cs="Tahoma"/>
            <w:color w:val="0070B7"/>
            <w:sz w:val="21"/>
          </w:rPr>
          <w:t>коррупции</w:t>
        </w:r>
      </w:hyperlink>
      <w:proofErr w:type="spellEnd"/>
    </w:p>
    <w:p w:rsidR="00BE639A" w:rsidRPr="00644D35" w:rsidRDefault="00BE639A" w:rsidP="00BE639A">
      <w:pPr>
        <w:shd w:val="clear" w:color="auto" w:fill="FFFFFF"/>
        <w:spacing w:before="100" w:beforeAutospacing="1" w:after="461" w:line="323" w:lineRule="atLeast"/>
        <w:jc w:val="both"/>
        <w:rPr>
          <w:color w:val="C00000"/>
        </w:rPr>
      </w:pPr>
      <w:hyperlink r:id="rId15" w:tgtFrame="_self" w:tooltip="" w:history="1">
        <w:r w:rsidRPr="00644D35">
          <w:rPr>
            <w:rFonts w:ascii="Golos" w:hAnsi="Golos"/>
            <w:color w:val="C00000"/>
            <w:sz w:val="27"/>
            <w:szCs w:val="27"/>
            <w:shd w:val="clear" w:color="auto" w:fill="FFFFFF"/>
          </w:rPr>
          <w:t>Методические рекомендации об организации работы по уведомлению представителя нанимателя о выполнении иной оплачиваемой работы федеральными государственными гражданскими служащими Министерства обороны Российской Федерации (утверждены статс-секретарем - заместителем Министра обороны Российской Федерации 5 мая 2017 г.)</w:t>
        </w:r>
      </w:hyperlink>
    </w:p>
    <w:p w:rsidR="00CE6B0B" w:rsidRPr="00644D35" w:rsidRDefault="00CE6B0B" w:rsidP="00CE6B0B">
      <w:pPr>
        <w:shd w:val="clear" w:color="auto" w:fill="FFFFFF"/>
        <w:spacing w:before="100" w:beforeAutospacing="1" w:after="461" w:line="323" w:lineRule="atLeast"/>
        <w:jc w:val="both"/>
        <w:rPr>
          <w:rFonts w:ascii="Tahoma" w:eastAsia="Times New Roman" w:hAnsi="Tahoma" w:cs="Tahoma"/>
          <w:color w:val="C00000"/>
          <w:sz w:val="21"/>
        </w:rPr>
      </w:pPr>
    </w:p>
    <w:p w:rsidR="00BE639A" w:rsidRPr="00644D35" w:rsidRDefault="00BE639A" w:rsidP="00CE6B0B">
      <w:pPr>
        <w:shd w:val="clear" w:color="auto" w:fill="FFFFFF"/>
        <w:spacing w:before="100" w:beforeAutospacing="1" w:after="461" w:line="323" w:lineRule="atLeast"/>
        <w:jc w:val="both"/>
        <w:rPr>
          <w:color w:val="C00000"/>
        </w:rPr>
      </w:pPr>
      <w:hyperlink r:id="rId16" w:tgtFrame="_self" w:tooltip="" w:history="1">
        <w:r w:rsidRPr="00644D35">
          <w:rPr>
            <w:rFonts w:ascii="Golos" w:hAnsi="Golos"/>
            <w:color w:val="C00000"/>
            <w:sz w:val="27"/>
            <w:szCs w:val="27"/>
            <w:shd w:val="clear" w:color="auto" w:fill="FFFFFF"/>
          </w:rPr>
          <w:t>Памятка государственному служащему (работнику) по порядку действий при невозможности представить сведения о доходах, об имуществе и обязательствах имущественного характера на супругу (супруга) и несовершеннолетних детей (2019 г.)</w:t>
        </w:r>
      </w:hyperlink>
    </w:p>
    <w:p w:rsidR="00BE639A" w:rsidRPr="00644D35" w:rsidRDefault="00BE639A" w:rsidP="00CE6B0B">
      <w:pPr>
        <w:shd w:val="clear" w:color="auto" w:fill="FFFFFF"/>
        <w:spacing w:before="100" w:beforeAutospacing="1" w:after="461" w:line="323" w:lineRule="atLeast"/>
        <w:jc w:val="both"/>
        <w:rPr>
          <w:rFonts w:ascii="Tahoma" w:eastAsia="Times New Roman" w:hAnsi="Tahoma" w:cs="Tahoma"/>
          <w:color w:val="C00000"/>
          <w:sz w:val="21"/>
        </w:rPr>
      </w:pPr>
      <w:hyperlink r:id="rId17" w:tgtFrame="_self" w:tooltip="" w:history="1">
        <w:r w:rsidRPr="00644D35">
          <w:rPr>
            <w:rFonts w:ascii="Golos" w:hAnsi="Golos"/>
            <w:color w:val="C00000"/>
            <w:sz w:val="27"/>
            <w:szCs w:val="27"/>
            <w:shd w:val="clear" w:color="auto" w:fill="FFFFFF"/>
          </w:rPr>
          <w:t>Алгоритм работы должностных лиц органов военного управления (воинских частей, организаций) по выявлению конфликта интересов при осуществлении закупок, предметом которых являются поставка товара, выполнение работ, оказание услуг для нужд Министерства обороны Российской Федерации (утверждены статс-секретарем — заместителем Министра обороны Российской Федерации 22 февраля 2022 г.)</w:t>
        </w:r>
      </w:hyperlink>
    </w:p>
    <w:p w:rsidR="00BE639A" w:rsidRPr="00644D35" w:rsidRDefault="00BE639A" w:rsidP="00CE6B0B">
      <w:pPr>
        <w:shd w:val="clear" w:color="auto" w:fill="FFFFFF"/>
        <w:spacing w:before="100" w:beforeAutospacing="1" w:after="461" w:line="323" w:lineRule="atLeast"/>
        <w:jc w:val="both"/>
        <w:rPr>
          <w:rFonts w:ascii="Tahoma" w:eastAsia="Times New Roman" w:hAnsi="Tahoma" w:cs="Tahoma"/>
          <w:color w:val="C00000"/>
          <w:sz w:val="21"/>
        </w:rPr>
      </w:pPr>
      <w:hyperlink r:id="rId18" w:tgtFrame="_self" w:tooltip="" w:history="1">
        <w:proofErr w:type="gramStart"/>
        <w:r w:rsidRPr="00644D35">
          <w:rPr>
            <w:rFonts w:ascii="Golos" w:hAnsi="Golos"/>
            <w:color w:val="C00000"/>
            <w:sz w:val="27"/>
            <w:szCs w:val="27"/>
            <w:shd w:val="clear" w:color="auto" w:fill="FFFFFF"/>
          </w:rPr>
          <w:t>Методические рекомендации по заполнению электронной формы со сведениями о доходах, расходах, об имуществе и обязательствах имущественного характера военнослужащих, федеральных государственных гражданских служащих и работников Министерства обороны Российской Федерации и членов их семей для последующего размещения на официальном Интернет-сайте Министерства обороны Российской Федерации (утверждены статс-секретарем - заместителем Министра обороны Российской Федерации 26 мая 2023 г.)</w:t>
        </w:r>
      </w:hyperlink>
      <w:proofErr w:type="gramEnd"/>
    </w:p>
    <w:p w:rsidR="00BE639A" w:rsidRPr="00644D35" w:rsidRDefault="00BE639A" w:rsidP="00CE6B0B">
      <w:pPr>
        <w:shd w:val="clear" w:color="auto" w:fill="FFFFFF"/>
        <w:spacing w:before="100" w:beforeAutospacing="1" w:after="461" w:line="323" w:lineRule="atLeast"/>
        <w:jc w:val="both"/>
        <w:rPr>
          <w:rFonts w:ascii="Tahoma" w:eastAsia="Times New Roman" w:hAnsi="Tahoma" w:cs="Tahoma"/>
          <w:color w:val="C00000"/>
          <w:sz w:val="21"/>
        </w:rPr>
      </w:pPr>
      <w:hyperlink r:id="rId19" w:tgtFrame="_self" w:tooltip="" w:history="1">
        <w:r w:rsidRPr="00644D35">
          <w:rPr>
            <w:rFonts w:ascii="Golos" w:hAnsi="Golos"/>
            <w:color w:val="C00000"/>
            <w:sz w:val="27"/>
            <w:szCs w:val="27"/>
            <w:shd w:val="clear" w:color="auto" w:fill="FFFFFF"/>
          </w:rPr>
          <w:t>Рекомендуемые образцы документов по вопросам профилактики коррупционных и иных правонарушений (в помощь руководителям подразделений (должностным лицам) по профилактике коррупционных и иных правонарушений) (утверждены статс-секретарем – заместителем Министра обороны Российской Федерации 13 апреля 2023 г.)</w:t>
        </w:r>
      </w:hyperlink>
    </w:p>
    <w:p w:rsidR="00121D2F" w:rsidRPr="00644D35" w:rsidRDefault="00B96FAE" w:rsidP="00CE6B0B">
      <w:pPr>
        <w:shd w:val="clear" w:color="auto" w:fill="FFFFFF"/>
        <w:spacing w:before="100" w:beforeAutospacing="1" w:after="461" w:line="323" w:lineRule="atLeast"/>
        <w:jc w:val="both"/>
        <w:rPr>
          <w:rFonts w:ascii="Tahoma" w:eastAsia="Times New Roman" w:hAnsi="Tahoma" w:cs="Tahoma"/>
          <w:color w:val="C00000"/>
          <w:sz w:val="21"/>
        </w:rPr>
      </w:pPr>
      <w:hyperlink r:id="rId20" w:tgtFrame="_self" w:history="1">
        <w:r w:rsidR="00121D2F" w:rsidRPr="00644D35">
          <w:rPr>
            <w:rFonts w:ascii="Golos" w:hAnsi="Golos"/>
            <w:color w:val="C00000"/>
            <w:sz w:val="27"/>
            <w:szCs w:val="27"/>
            <w:shd w:val="clear" w:color="auto" w:fill="FFFFFF"/>
          </w:rPr>
          <w:t>Памятка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по порядку выявления конфликта интересов (2023 г.)</w:t>
        </w:r>
      </w:hyperlink>
    </w:p>
    <w:p w:rsidR="00121D2F" w:rsidRPr="00644D35" w:rsidRDefault="00B96FAE" w:rsidP="00CE6B0B">
      <w:pPr>
        <w:shd w:val="clear" w:color="auto" w:fill="FFFFFF"/>
        <w:spacing w:before="100" w:beforeAutospacing="1" w:after="461" w:line="323" w:lineRule="atLeast"/>
        <w:jc w:val="both"/>
        <w:rPr>
          <w:rFonts w:ascii="Tahoma" w:eastAsia="Times New Roman" w:hAnsi="Tahoma" w:cs="Tahoma"/>
          <w:color w:val="C00000"/>
          <w:sz w:val="21"/>
        </w:rPr>
      </w:pPr>
      <w:hyperlink r:id="rId21" w:tgtFrame="_self" w:history="1">
        <w:proofErr w:type="gramStart"/>
        <w:r w:rsidR="00121D2F" w:rsidRPr="00644D35">
          <w:rPr>
            <w:rFonts w:ascii="Golos" w:hAnsi="Golos"/>
            <w:color w:val="C00000"/>
            <w:sz w:val="27"/>
            <w:szCs w:val="27"/>
            <w:shd w:val="clear" w:color="auto" w:fill="FFFFFF"/>
          </w:rPr>
          <w:t>Порядок действий подразделений по профилактике коррупционных и иных правонарушений, должностных лиц, ответственных за работу по профилактике коррупционных и иных правонарушений и кадровых органов при проведении мероприятий по увольнению (освобождению от должности) военнослужащих, федеральных государственных гражданских служащих и работников Вооруженных Сил Российской Федерации в связи с утратой доверия за совершение коррупционного правонарушения (утвержден статс-секретарем - заместителем Министра обороны Российской Федерации 13 апреля</w:t>
        </w:r>
        <w:proofErr w:type="gramEnd"/>
        <w:r w:rsidR="00121D2F" w:rsidRPr="00644D35">
          <w:rPr>
            <w:rFonts w:ascii="Golos" w:hAnsi="Golos"/>
            <w:color w:val="C00000"/>
            <w:sz w:val="27"/>
            <w:szCs w:val="27"/>
            <w:shd w:val="clear" w:color="auto" w:fill="FFFFFF"/>
          </w:rPr>
          <w:t xml:space="preserve"> </w:t>
        </w:r>
        <w:proofErr w:type="gramStart"/>
        <w:r w:rsidR="00121D2F" w:rsidRPr="00644D35">
          <w:rPr>
            <w:rFonts w:ascii="Golos" w:hAnsi="Golos"/>
            <w:color w:val="C00000"/>
            <w:sz w:val="27"/>
            <w:szCs w:val="27"/>
            <w:shd w:val="clear" w:color="auto" w:fill="FFFFFF"/>
          </w:rPr>
          <w:t>2023 г.)</w:t>
        </w:r>
      </w:hyperlink>
      <w:proofErr w:type="gramEnd"/>
    </w:p>
    <w:p w:rsidR="00BE639A" w:rsidRPr="00BE639A" w:rsidRDefault="00BE639A" w:rsidP="00BE639A">
      <w:pPr>
        <w:shd w:val="clear" w:color="auto" w:fill="FFFFFF"/>
        <w:spacing w:line="240" w:lineRule="auto"/>
        <w:jc w:val="both"/>
        <w:rPr>
          <w:rFonts w:ascii="Golos" w:eastAsia="Times New Roman" w:hAnsi="Golos" w:cs="Times New Roman"/>
          <w:color w:val="C00000"/>
          <w:sz w:val="27"/>
          <w:szCs w:val="27"/>
        </w:rPr>
      </w:pPr>
      <w:hyperlink r:id="rId22" w:tgtFrame="_self" w:tooltip="" w:history="1">
        <w:r w:rsidRPr="00BE639A">
          <w:rPr>
            <w:rFonts w:ascii="Golos" w:eastAsia="Times New Roman" w:hAnsi="Golos" w:cs="Times New Roman"/>
            <w:color w:val="C00000"/>
            <w:sz w:val="24"/>
            <w:szCs w:val="24"/>
          </w:rPr>
          <w:t xml:space="preserve">Рекомендации по порядку проведения должностными лицами подразделений по профилактике коррупционных и иных правонарушений (должностными лицами, назначенными ответственными за работу по профилактике коррупционных и иных правонарушений) бесед с федеральными государственными служащими и работниками организаций, созданных для выполнения задач, поставленных перед Министерством обороны Российской Федерации, в ходе проверок достоверности и </w:t>
        </w:r>
        <w:proofErr w:type="gramStart"/>
        <w:r w:rsidRPr="00BE639A">
          <w:rPr>
            <w:rFonts w:ascii="Golos" w:eastAsia="Times New Roman" w:hAnsi="Golos" w:cs="Times New Roman"/>
            <w:color w:val="C00000"/>
            <w:sz w:val="24"/>
            <w:szCs w:val="24"/>
          </w:rPr>
          <w:t>полноты</w:t>
        </w:r>
        <w:proofErr w:type="gramEnd"/>
        <w:r w:rsidRPr="00BE639A">
          <w:rPr>
            <w:rFonts w:ascii="Golos" w:eastAsia="Times New Roman" w:hAnsi="Golos" w:cs="Times New Roman"/>
            <w:color w:val="C00000"/>
            <w:sz w:val="24"/>
            <w:szCs w:val="24"/>
          </w:rPr>
          <w:t xml:space="preserve"> представляемых ими сведений о доходах, об имуществе и обязательствах имущественного характера, а также соблюдения ими требований к служебному поведению (утверждены заместителем Министра обороны Российской Федерации - начальником ГВПУ ВС РФ 29 октября 2024 г.)</w:t>
        </w:r>
      </w:hyperlink>
    </w:p>
    <w:p w:rsidR="00BE639A" w:rsidRPr="00BE639A" w:rsidRDefault="00BE639A" w:rsidP="00BE639A">
      <w:pPr>
        <w:shd w:val="clear" w:color="auto" w:fill="FFFFFF"/>
        <w:spacing w:line="240" w:lineRule="auto"/>
        <w:jc w:val="both"/>
        <w:rPr>
          <w:rFonts w:ascii="Golos" w:eastAsia="Times New Roman" w:hAnsi="Golos" w:cs="Times New Roman"/>
          <w:color w:val="C00000"/>
          <w:sz w:val="27"/>
          <w:szCs w:val="27"/>
        </w:rPr>
      </w:pPr>
      <w:hyperlink r:id="rId23" w:tgtFrame="_self" w:tooltip="" w:history="1">
        <w:proofErr w:type="gramStart"/>
        <w:r w:rsidRPr="00BE639A">
          <w:rPr>
            <w:rFonts w:ascii="Golos" w:eastAsia="Times New Roman" w:hAnsi="Golos" w:cs="Times New Roman"/>
            <w:color w:val="C00000"/>
            <w:sz w:val="24"/>
            <w:szCs w:val="24"/>
          </w:rPr>
          <w:t>Рекомендации по порядку проведения должностными лицами подразделений по профилактике коррупционных и иных правонарушений (должностными лицами, назначенными ответственными за работу по профилактике коррупционных и иных правонарушений) индивидуальных профилактических бесед с личным составом Вооруженных Сил Российской Федерации по вопросам противодействия коррупции (утверждены заместителем Министра обороны Российской Федерации - начальником ГВПУ ВС РФ 1 ноября 2024 г.)</w:t>
        </w:r>
      </w:hyperlink>
      <w:proofErr w:type="gramEnd"/>
    </w:p>
    <w:p w:rsidR="00BE639A" w:rsidRPr="00BE639A" w:rsidRDefault="00BE639A" w:rsidP="00BE639A">
      <w:pPr>
        <w:shd w:val="clear" w:color="auto" w:fill="FFFFFF"/>
        <w:spacing w:line="240" w:lineRule="auto"/>
        <w:jc w:val="both"/>
        <w:rPr>
          <w:rFonts w:ascii="Golos" w:eastAsia="Times New Roman" w:hAnsi="Golos" w:cs="Times New Roman"/>
          <w:color w:val="C00000"/>
          <w:sz w:val="27"/>
          <w:szCs w:val="27"/>
        </w:rPr>
      </w:pPr>
      <w:hyperlink r:id="rId24" w:tgtFrame="_self" w:tooltip="" w:history="1">
        <w:proofErr w:type="gramStart"/>
        <w:r w:rsidRPr="00BE639A">
          <w:rPr>
            <w:rFonts w:ascii="Golos" w:eastAsia="Times New Roman" w:hAnsi="Golos" w:cs="Times New Roman"/>
            <w:color w:val="C00000"/>
            <w:sz w:val="24"/>
            <w:szCs w:val="24"/>
          </w:rPr>
          <w:t>Методические рекомендации должностным лицам подразделений кадровой службы по профилактике коррупционных и иных правонарушений (должностным лицам, ответственным за профилактику коррупционных и иных правонарушений) по организации работы при рассмотрении уведомлений (заявлений, рапортов) по вопросам соблюдения военнослужащими, федеральными государственными гражданскими служащими и работниками ограничений и запретов, требований о предотвращении или урегулировании конфликта интересов, принципов служебного поведения, установленных законодательством Российской Федерации (утверждены заместителем Министра</w:t>
        </w:r>
        <w:proofErr w:type="gramEnd"/>
        <w:r w:rsidRPr="00BE639A">
          <w:rPr>
            <w:rFonts w:ascii="Golos" w:eastAsia="Times New Roman" w:hAnsi="Golos" w:cs="Times New Roman"/>
            <w:color w:val="C00000"/>
            <w:sz w:val="24"/>
            <w:szCs w:val="24"/>
          </w:rPr>
          <w:t xml:space="preserve"> обороны Российской Федерации – начальником Главного военно-политического управления Вооруженных Сил Российской Федерации 18 января 2025 г.)</w:t>
        </w:r>
      </w:hyperlink>
    </w:p>
    <w:p w:rsidR="00BE639A" w:rsidRPr="00BE639A" w:rsidRDefault="00BE639A" w:rsidP="00BE639A">
      <w:pPr>
        <w:shd w:val="clear" w:color="auto" w:fill="FFFFFF"/>
        <w:spacing w:line="240" w:lineRule="auto"/>
        <w:jc w:val="both"/>
        <w:rPr>
          <w:rFonts w:ascii="Golos" w:eastAsia="Times New Roman" w:hAnsi="Golos" w:cs="Times New Roman"/>
          <w:color w:val="C00000"/>
          <w:sz w:val="27"/>
          <w:szCs w:val="27"/>
        </w:rPr>
      </w:pPr>
      <w:hyperlink r:id="rId25" w:tgtFrame="_self" w:tooltip="" w:history="1">
        <w:proofErr w:type="gramStart"/>
        <w:r w:rsidRPr="00BE639A">
          <w:rPr>
            <w:rFonts w:ascii="Golos" w:eastAsia="Times New Roman" w:hAnsi="Golos" w:cs="Times New Roman"/>
            <w:color w:val="C00000"/>
            <w:sz w:val="24"/>
            <w:szCs w:val="24"/>
          </w:rPr>
          <w:t xml:space="preserve">Методические рекомендации должностным лицам подразделений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по порядку проведения анализа сведений о доходах, расходах, об имуществе и обязательствах имущественного характера (утверждены заместителем Министра обороны Российской Федерации – </w:t>
        </w:r>
        <w:r w:rsidRPr="00BE639A">
          <w:rPr>
            <w:rFonts w:ascii="Golos" w:eastAsia="Times New Roman" w:hAnsi="Golos" w:cs="Times New Roman"/>
            <w:color w:val="C00000"/>
            <w:sz w:val="24"/>
            <w:szCs w:val="24"/>
          </w:rPr>
          <w:lastRenderedPageBreak/>
          <w:t>начальником Главного военно-политического управления Вооруженных Сил Российской Федерации от 3 марта 2025 г.)</w:t>
        </w:r>
      </w:hyperlink>
      <w:proofErr w:type="gramEnd"/>
    </w:p>
    <w:p w:rsidR="00BE639A" w:rsidRPr="00BE639A" w:rsidRDefault="00BE639A" w:rsidP="00BE639A">
      <w:pPr>
        <w:shd w:val="clear" w:color="auto" w:fill="FFFFFF"/>
        <w:spacing w:line="240" w:lineRule="auto"/>
        <w:jc w:val="both"/>
        <w:rPr>
          <w:rFonts w:ascii="Golos" w:eastAsia="Times New Roman" w:hAnsi="Golos" w:cs="Times New Roman"/>
          <w:color w:val="C00000"/>
          <w:sz w:val="27"/>
          <w:szCs w:val="27"/>
        </w:rPr>
      </w:pPr>
      <w:hyperlink r:id="rId26" w:tgtFrame="_self" w:tooltip="" w:history="1">
        <w:r w:rsidRPr="00BE639A">
          <w:rPr>
            <w:rFonts w:ascii="Golos" w:eastAsia="Times New Roman" w:hAnsi="Golos" w:cs="Times New Roman"/>
            <w:color w:val="C00000"/>
            <w:sz w:val="24"/>
            <w:szCs w:val="24"/>
          </w:rPr>
          <w:t>Методические рекомендации по порядку рассмотрения должностными лицами органов военного управления, воинских частей и организаций Вооруженных Сил Российской Федерации обращений граждан о возможных коррупционных правонарушениях (утверждены заместителем Министра обороны Российской Федерации – начальником Главного военно-политического управления Вооруженных Сил Российской Федерации 9 сентября 2025 г.)</w:t>
        </w:r>
      </w:hyperlink>
    </w:p>
    <w:p w:rsidR="00121D2F" w:rsidRPr="00644D35" w:rsidRDefault="00121D2F" w:rsidP="00CE6B0B">
      <w:pPr>
        <w:shd w:val="clear" w:color="auto" w:fill="FFFFFF"/>
        <w:spacing w:before="100" w:beforeAutospacing="1" w:after="461" w:line="323" w:lineRule="atLeast"/>
        <w:jc w:val="both"/>
        <w:rPr>
          <w:rFonts w:ascii="Tahoma" w:eastAsia="Times New Roman" w:hAnsi="Tahoma" w:cs="Tahoma"/>
          <w:color w:val="C00000"/>
          <w:sz w:val="21"/>
          <w:szCs w:val="21"/>
        </w:rPr>
      </w:pPr>
    </w:p>
    <w:p w:rsidR="00CE6B0B" w:rsidRPr="00CE6B0B" w:rsidRDefault="00CE6B0B" w:rsidP="00CE6B0B">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CE6B0B">
        <w:rPr>
          <w:rFonts w:ascii="Tahoma" w:eastAsia="Times New Roman" w:hAnsi="Tahoma" w:cs="Tahoma"/>
          <w:b/>
          <w:bCs/>
          <w:color w:val="000000"/>
          <w:sz w:val="36"/>
          <w:szCs w:val="36"/>
        </w:rPr>
        <w:t>Методические материалы Минтруда</w:t>
      </w:r>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27" w:tgtFrame="_blank" w:history="1">
        <w:r w:rsidR="00CE6B0B" w:rsidRPr="00CE6B0B">
          <w:rPr>
            <w:rFonts w:ascii="Tahoma" w:eastAsia="Times New Roman" w:hAnsi="Tahoma" w:cs="Tahoma"/>
            <w:color w:val="0070B7"/>
            <w:sz w:val="21"/>
          </w:rPr>
          <w:t>Памятка об ограничениях, запретах и обязанностях работников организаций, находящихся в ведении Министерства труда и социальной защиты Российской Федерации, установленных в целях противодействия коррупции (2015 г.)</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28" w:tgtFrame="_blank" w:history="1">
        <w:r w:rsidR="00CE6B0B" w:rsidRPr="00CE6B0B">
          <w:rPr>
            <w:rFonts w:ascii="Tahoma" w:eastAsia="Times New Roman" w:hAnsi="Tahoma" w:cs="Tahoma"/>
            <w:color w:val="0070B7"/>
            <w:sz w:val="21"/>
          </w:rPr>
          <w:t>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29" w:tgtFrame="_blank" w:history="1">
        <w:r w:rsidR="00CE6B0B" w:rsidRPr="00CE6B0B">
          <w:rPr>
            <w:rFonts w:ascii="Tahoma" w:eastAsia="Times New Roman" w:hAnsi="Tahoma" w:cs="Tahoma"/>
            <w:color w:val="0070B7"/>
            <w:sz w:val="21"/>
          </w:rPr>
          <w:t>Памятка об ограничениях, запретах, требованиях к служебному поведению и предупреждению коррупционных правонарушений, связанных с прохождением федеральной государственной гражданской службы в Министерстве труда и социальной защиты Российской Федерации (2015 г.)</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0" w:tgtFrame="_blank" w:history="1">
        <w:r w:rsidR="00CE6B0B" w:rsidRPr="00CE6B0B">
          <w:rPr>
            <w:rFonts w:ascii="Tahoma" w:eastAsia="Times New Roman" w:hAnsi="Tahoma" w:cs="Tahoma"/>
            <w:color w:val="0070B7"/>
            <w:sz w:val="21"/>
          </w:rPr>
          <w:t>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1" w:tgtFrame="_blank" w:history="1">
        <w:r w:rsidR="00CE6B0B" w:rsidRPr="00CE6B0B">
          <w:rPr>
            <w:rFonts w:ascii="Tahoma" w:eastAsia="Times New Roman" w:hAnsi="Tahoma" w:cs="Tahoma"/>
            <w:color w:val="0070B7"/>
            <w:sz w:val="21"/>
          </w:rPr>
          <w:t>Памятка федеральному государственному гражданскому служащему Министерства труда и социальной защиты Российской Федерации, планирующему увольнение с федеральной государственной гражданской службы (2015 г.)</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2" w:tgtFrame="_blank" w:history="1">
        <w:r w:rsidR="00CE6B0B" w:rsidRPr="00CE6B0B">
          <w:rPr>
            <w:rFonts w:ascii="Tahoma" w:eastAsia="Times New Roman" w:hAnsi="Tahoma" w:cs="Tahoma"/>
            <w:color w:val="0070B7"/>
            <w:sz w:val="21"/>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(2015 г.)</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3" w:tgtFrame="_blank" w:history="1">
        <w:r w:rsidR="00CE6B0B" w:rsidRPr="00CE6B0B">
          <w:rPr>
            <w:rFonts w:ascii="Tahoma" w:eastAsia="Times New Roman" w:hAnsi="Tahoma" w:cs="Tahoma"/>
            <w:color w:val="0070B7"/>
            <w:sz w:val="21"/>
          </w:rPr>
          <w:t>Методические рекомендации «Обеспечение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4" w:tgtFrame="_blank" w:history="1">
        <w:r w:rsidR="00CE6B0B" w:rsidRPr="00CE6B0B">
          <w:rPr>
            <w:rFonts w:ascii="Tahoma" w:eastAsia="Times New Roman" w:hAnsi="Tahoma" w:cs="Tahoma"/>
            <w:color w:val="0070B7"/>
            <w:sz w:val="21"/>
          </w:rPr>
          <w:t>Методические рекомендации по организации в федеральных органах власти антикоррупционной экспертизы нормативных правовых актов и их проектов</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5" w:tgtFrame="_blank" w:history="1">
        <w:proofErr w:type="gramStart"/>
        <w:r w:rsidR="00CE6B0B" w:rsidRPr="00CE6B0B">
          <w:rPr>
            <w:rFonts w:ascii="Tahoma" w:eastAsia="Times New Roman" w:hAnsi="Tahoma" w:cs="Tahoma"/>
            <w:color w:val="0070B7"/>
            <w:sz w:val="21"/>
          </w:rPr>
          <w:t>Методические рекомендации по проведению оценки коррупционных рисков, возникающих при реализации государственных функций, а также корректировке перечней должностей федеральной государственной службы и должностей в государственных корпорациях, замещение которых связано с коррупционными рисками, и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 деятельность которых связана с коррупционными рисками</w:t>
        </w:r>
      </w:hyperlink>
      <w:proofErr w:type="gramEnd"/>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6" w:tgtFrame="_blank" w:history="1">
        <w:r w:rsidR="00CE6B0B" w:rsidRPr="00CE6B0B">
          <w:rPr>
            <w:rFonts w:ascii="Tahoma" w:eastAsia="Times New Roman" w:hAnsi="Tahoma" w:cs="Tahoma"/>
            <w:color w:val="0070B7"/>
            <w:sz w:val="21"/>
          </w:rPr>
          <w:t>Методические рекомендации по реализации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7" w:tgtFrame="_blank" w:history="1">
        <w:r w:rsidR="00CE6B0B" w:rsidRPr="00CE6B0B">
          <w:rPr>
            <w:rFonts w:ascii="Tahoma" w:eastAsia="Times New Roman" w:hAnsi="Tahoma" w:cs="Tahoma"/>
            <w:color w:val="0070B7"/>
            <w:sz w:val="21"/>
          </w:rPr>
          <w:t>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8" w:tgtFrame="_blank" w:history="1">
        <w:r w:rsidR="00CE6B0B" w:rsidRPr="00CE6B0B">
          <w:rPr>
            <w:rFonts w:ascii="Tahoma" w:eastAsia="Times New Roman" w:hAnsi="Tahoma" w:cs="Tahoma"/>
            <w:color w:val="0070B7"/>
            <w:sz w:val="21"/>
          </w:rPr>
          <w:t>Методические рекомендации «Организация ротации федеральных государственных гражданских служащих в федеральных органах исполнительной власти»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39" w:tgtFrame="_blank" w:history="1">
        <w:r w:rsidR="00CE6B0B" w:rsidRPr="00CE6B0B">
          <w:rPr>
            <w:rFonts w:ascii="Tahoma" w:eastAsia="Times New Roman" w:hAnsi="Tahoma" w:cs="Tahoma"/>
            <w:color w:val="0070B7"/>
            <w:sz w:val="21"/>
          </w:rPr>
          <w:t>Комплекс мер, направленных на привлечение государственных и муниципальных служащих к противодействию коррупции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0" w:tgtFrame="_blank" w:history="1">
        <w:r w:rsidR="00CE6B0B" w:rsidRPr="00CE6B0B">
          <w:rPr>
            <w:rFonts w:ascii="Tahoma" w:eastAsia="Times New Roman" w:hAnsi="Tahoma" w:cs="Tahoma"/>
            <w:color w:val="0070B7"/>
            <w:sz w:val="21"/>
          </w:rPr>
          <w:t xml:space="preserve">Разъяснение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w:t>
        </w:r>
        <w:proofErr w:type="gramStart"/>
        <w:r w:rsidR="00CE6B0B" w:rsidRPr="00CE6B0B">
          <w:rPr>
            <w:rFonts w:ascii="Tahoma" w:eastAsia="Times New Roman" w:hAnsi="Tahoma" w:cs="Tahoma"/>
            <w:color w:val="0070B7"/>
            <w:sz w:val="21"/>
          </w:rPr>
          <w:t>интересов</w:t>
        </w:r>
        <w:proofErr w:type="gramEnd"/>
        <w:r w:rsidR="00CE6B0B" w:rsidRPr="00CE6B0B">
          <w:rPr>
            <w:rFonts w:ascii="Tahoma" w:eastAsia="Times New Roman" w:hAnsi="Tahoma" w:cs="Tahoma"/>
            <w:color w:val="0070B7"/>
            <w:sz w:val="21"/>
          </w:rPr>
          <w:t xml:space="preserve"> бывшему государственному служащему на замещение им должности в коммерческой или некоммерческой организации не требуется (письмо Минтруда России от 22 июня 2012 г. № 17-1/10/1-248)</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1" w:tgtFrame="_blank" w:history="1">
        <w:r w:rsidR="00CE6B0B" w:rsidRPr="00CE6B0B">
          <w:rPr>
            <w:rFonts w:ascii="Tahoma" w:eastAsia="Times New Roman" w:hAnsi="Tahoma" w:cs="Tahoma"/>
            <w:color w:val="0070B7"/>
            <w:sz w:val="21"/>
          </w:rPr>
          <w:t xml:space="preserve">Разъяснения по применению Федерального закона от 3 декабря 2012 г. № 230-ФЗ «О </w:t>
        </w:r>
        <w:proofErr w:type="gramStart"/>
        <w:r w:rsidR="00CE6B0B" w:rsidRPr="00CE6B0B">
          <w:rPr>
            <w:rFonts w:ascii="Tahoma" w:eastAsia="Times New Roman" w:hAnsi="Tahoma" w:cs="Tahoma"/>
            <w:color w:val="0070B7"/>
            <w:sz w:val="21"/>
          </w:rPr>
          <w:t>контроле за</w:t>
        </w:r>
        <w:proofErr w:type="gramEnd"/>
        <w:r w:rsidR="00CE6B0B" w:rsidRPr="00CE6B0B">
          <w:rPr>
            <w:rFonts w:ascii="Tahoma" w:eastAsia="Times New Roman" w:hAnsi="Tahoma" w:cs="Tahoma"/>
            <w:color w:val="0070B7"/>
            <w:sz w:val="21"/>
          </w:rPr>
          <w:t xml:space="preserve">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2" w:tgtFrame="_blank" w:history="1">
        <w:r w:rsidR="00CE6B0B" w:rsidRPr="00CE6B0B">
          <w:rPr>
            <w:rFonts w:ascii="Tahoma" w:eastAsia="Times New Roman" w:hAnsi="Tahoma" w:cs="Tahoma"/>
            <w:color w:val="0070B7"/>
            <w:sz w:val="21"/>
          </w:rPr>
          <w:t>Обзор рекомендаций Минтруда России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(Информация от 19 февраля 2013 г.)</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3" w:tgtFrame="_blank" w:history="1">
        <w:r w:rsidR="00CE6B0B" w:rsidRPr="00CE6B0B">
          <w:rPr>
            <w:rFonts w:ascii="Tahoma" w:eastAsia="Times New Roman" w:hAnsi="Tahoma" w:cs="Tahoma"/>
            <w:color w:val="0070B7"/>
            <w:sz w:val="21"/>
          </w:rPr>
          <w:t>Обзор типовых ситуаций конфликта интересов на государственной службе Российской Федерации и порядка их урегулирования</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4" w:tgtFrame="_blank" w:history="1">
        <w:proofErr w:type="gramStart"/>
        <w:r w:rsidR="00CE6B0B" w:rsidRPr="00CE6B0B">
          <w:rPr>
            <w:rFonts w:ascii="Tahoma" w:eastAsia="Times New Roman" w:hAnsi="Tahoma" w:cs="Tahoma"/>
            <w:color w:val="0070B7"/>
            <w:sz w:val="21"/>
          </w:rPr>
          <w:t>Приказ Министерства труда и социальной защиты РФ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proofErr w:type="gramEnd"/>
        <w:r w:rsidR="00CE6B0B" w:rsidRPr="00CE6B0B">
          <w:rPr>
            <w:rFonts w:ascii="Tahoma" w:eastAsia="Times New Roman" w:hAnsi="Tahoma" w:cs="Tahoma"/>
            <w:color w:val="0070B7"/>
            <w:sz w:val="21"/>
          </w:rPr>
          <w:t xml:space="preserve"> должностям, замещение которых влечет за собой размещение сведений о доходах, расходах, об имуществе и обязательствах имущественного характера»</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5" w:tgtFrame="_blank" w:history="1">
        <w:r w:rsidR="00CE6B0B" w:rsidRPr="00CE6B0B">
          <w:rPr>
            <w:rFonts w:ascii="Tahoma" w:eastAsia="Times New Roman" w:hAnsi="Tahoma" w:cs="Tahoma"/>
            <w:color w:val="0070B7"/>
            <w:sz w:val="21"/>
          </w:rPr>
          <w:t>Пример заполнения справки – Государственный гражданский служащий</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6" w:tgtFrame="_blank" w:history="1">
        <w:r w:rsidR="00CE6B0B" w:rsidRPr="00CE6B0B">
          <w:rPr>
            <w:rFonts w:ascii="Tahoma" w:eastAsia="Times New Roman" w:hAnsi="Tahoma" w:cs="Tahoma"/>
            <w:color w:val="0070B7"/>
            <w:sz w:val="21"/>
          </w:rPr>
          <w:t>Пример заполнения справки – Супруга (супруги) государственного гражданского служащего</w:t>
        </w:r>
      </w:hyperlink>
    </w:p>
    <w:p w:rsidR="00CE6B0B" w:rsidRPr="00CE6B0B" w:rsidRDefault="00B96FAE"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47" w:tgtFrame="_blank" w:history="1">
        <w:r w:rsidR="00CE6B0B" w:rsidRPr="00CE6B0B">
          <w:rPr>
            <w:rFonts w:ascii="Tahoma" w:eastAsia="Times New Roman" w:hAnsi="Tahoma" w:cs="Tahoma"/>
            <w:color w:val="0070B7"/>
            <w:sz w:val="21"/>
          </w:rPr>
          <w:t>Методические рекомендации по организации антикоррупционного обучения федеральных государственных гражданских служащих</w:t>
        </w:r>
      </w:hyperlink>
    </w:p>
    <w:p w:rsidR="00CE6B0B" w:rsidRDefault="00B96FAE" w:rsidP="00CE6B0B">
      <w:pPr>
        <w:shd w:val="clear" w:color="auto" w:fill="FFFFFF"/>
        <w:spacing w:before="100" w:beforeAutospacing="1" w:after="461" w:line="323" w:lineRule="atLeast"/>
        <w:jc w:val="both"/>
        <w:rPr>
          <w:rFonts w:ascii="Tahoma" w:eastAsia="Times New Roman" w:hAnsi="Tahoma" w:cs="Tahoma"/>
          <w:color w:val="0070B7"/>
          <w:sz w:val="21"/>
        </w:rPr>
      </w:pPr>
      <w:hyperlink r:id="rId48" w:tgtFrame="_blank" w:history="1">
        <w:r w:rsidR="00CE6B0B" w:rsidRPr="00CE6B0B">
          <w:rPr>
            <w:rFonts w:ascii="Tahoma" w:eastAsia="Times New Roman" w:hAnsi="Tahoma" w:cs="Tahoma"/>
            <w:color w:val="0070B7"/>
            <w:sz w:val="21"/>
          </w:rPr>
          <w:t>Методические рекомендации по обеспечению повышения результативности и эффективности работы федеральных органов исполнительной власти с обращениями граждан и организаций по фактам коррупции</w:t>
        </w:r>
      </w:hyperlink>
    </w:p>
    <w:p w:rsidR="00644D35" w:rsidRPr="00644D35" w:rsidRDefault="00644D35" w:rsidP="00644D35">
      <w:pPr>
        <w:shd w:val="clear" w:color="auto" w:fill="FFFFFF"/>
        <w:spacing w:line="240" w:lineRule="auto"/>
        <w:jc w:val="both"/>
        <w:rPr>
          <w:rFonts w:ascii="Golos" w:eastAsia="Times New Roman" w:hAnsi="Golos" w:cs="Times New Roman"/>
          <w:color w:val="1D1D1D"/>
          <w:sz w:val="27"/>
          <w:szCs w:val="27"/>
        </w:rPr>
      </w:pPr>
      <w:hyperlink r:id="rId49" w:tgtFrame="_self" w:tooltip="" w:history="1">
        <w:r w:rsidRPr="00644D35">
          <w:rPr>
            <w:rFonts w:ascii="Golos" w:eastAsia="Times New Roman" w:hAnsi="Golos" w:cs="Times New Roman"/>
            <w:color w:val="D14E15"/>
            <w:sz w:val="24"/>
            <w:szCs w:val="24"/>
          </w:rPr>
          <w:t>Рекомендации по соблюдению государственными (муниципальными) служащими норм этики в целях противодействия коррупции и иным правонарушениям</w:t>
        </w:r>
      </w:hyperlink>
    </w:p>
    <w:p w:rsidR="00644D35" w:rsidRPr="00644D35" w:rsidRDefault="00644D35" w:rsidP="00644D35">
      <w:pPr>
        <w:shd w:val="clear" w:color="auto" w:fill="FFFFFF"/>
        <w:spacing w:line="240" w:lineRule="auto"/>
        <w:jc w:val="both"/>
        <w:rPr>
          <w:rFonts w:ascii="Golos" w:eastAsia="Times New Roman" w:hAnsi="Golos" w:cs="Times New Roman"/>
          <w:color w:val="D14E15"/>
          <w:sz w:val="24"/>
          <w:szCs w:val="24"/>
        </w:rPr>
      </w:pPr>
      <w:hyperlink r:id="rId50" w:tgtFrame="_self" w:tooltip="" w:history="1">
        <w:r w:rsidRPr="00644D35">
          <w:rPr>
            <w:rFonts w:ascii="Golos" w:eastAsia="Times New Roman" w:hAnsi="Golos" w:cs="Times New Roman"/>
            <w:color w:val="D14E15"/>
            <w:sz w:val="24"/>
            <w:szCs w:val="24"/>
          </w:rPr>
          <w:t>Методические рекомендации по проведению анализа сведений о доходах, расходах, об имуществе и обязательствах имущественного характера</w:t>
        </w:r>
      </w:hyperlink>
    </w:p>
    <w:p w:rsidR="00644D35" w:rsidRPr="00644D35" w:rsidRDefault="00644D35" w:rsidP="00644D35">
      <w:pPr>
        <w:shd w:val="clear" w:color="auto" w:fill="FFFFFF"/>
        <w:spacing w:line="240" w:lineRule="auto"/>
        <w:jc w:val="both"/>
        <w:rPr>
          <w:rFonts w:ascii="Golos" w:eastAsia="Times New Roman" w:hAnsi="Golos" w:cs="Times New Roman"/>
          <w:color w:val="1D1D1D"/>
          <w:sz w:val="27"/>
          <w:szCs w:val="27"/>
        </w:rPr>
      </w:pPr>
      <w:hyperlink r:id="rId51" w:tgtFrame="_self" w:tooltip="" w:history="1">
        <w:r w:rsidRPr="00644D35">
          <w:rPr>
            <w:rFonts w:ascii="Golos" w:eastAsia="Times New Roman" w:hAnsi="Golos" w:cs="Times New Roman"/>
            <w:color w:val="D14E15"/>
            <w:sz w:val="24"/>
            <w:szCs w:val="24"/>
          </w:rPr>
          <w:t>Методические материалы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 гражданско-правового договора с организацией</w:t>
        </w:r>
      </w:hyperlink>
    </w:p>
    <w:p w:rsidR="00644D35" w:rsidRPr="00644D35" w:rsidRDefault="00644D35" w:rsidP="00644D35">
      <w:pPr>
        <w:shd w:val="clear" w:color="auto" w:fill="FFFFFF"/>
        <w:spacing w:line="240" w:lineRule="auto"/>
        <w:jc w:val="both"/>
        <w:rPr>
          <w:rFonts w:ascii="Golos" w:eastAsia="Times New Roman" w:hAnsi="Golos" w:cs="Times New Roman"/>
          <w:color w:val="1D1D1D"/>
          <w:sz w:val="27"/>
          <w:szCs w:val="27"/>
        </w:rPr>
      </w:pPr>
      <w:hyperlink r:id="rId52" w:tgtFrame="_self" w:tooltip="" w:history="1">
        <w:r w:rsidRPr="00644D35">
          <w:rPr>
            <w:rFonts w:ascii="Golos" w:eastAsia="Times New Roman" w:hAnsi="Golos" w:cs="Times New Roman"/>
            <w:color w:val="D14E15"/>
            <w:sz w:val="24"/>
            <w:szCs w:val="24"/>
          </w:rPr>
          <w:t>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w:t>
        </w:r>
      </w:hyperlink>
    </w:p>
    <w:p w:rsidR="00644D35" w:rsidRPr="00CE6B0B" w:rsidRDefault="00644D35" w:rsidP="00CE6B0B">
      <w:pPr>
        <w:shd w:val="clear" w:color="auto" w:fill="FFFFFF"/>
        <w:spacing w:before="100" w:beforeAutospacing="1" w:after="461" w:line="323" w:lineRule="atLeast"/>
        <w:jc w:val="both"/>
        <w:rPr>
          <w:rFonts w:ascii="Tahoma" w:eastAsia="Times New Roman" w:hAnsi="Tahoma" w:cs="Tahoma"/>
          <w:color w:val="000000"/>
          <w:sz w:val="21"/>
          <w:szCs w:val="21"/>
        </w:rPr>
      </w:pPr>
    </w:p>
    <w:p w:rsidR="00CE6B0B" w:rsidRPr="00CE6B0B" w:rsidRDefault="00CE6B0B" w:rsidP="00CE6B0B">
      <w:pPr>
        <w:shd w:val="clear" w:color="auto" w:fill="FFFFFF"/>
        <w:spacing w:before="100" w:beforeAutospacing="1" w:after="230" w:line="346" w:lineRule="atLeast"/>
        <w:outlineLvl w:val="1"/>
        <w:rPr>
          <w:rFonts w:ascii="Tahoma" w:eastAsia="Times New Roman" w:hAnsi="Tahoma" w:cs="Tahoma"/>
          <w:b/>
          <w:bCs/>
          <w:color w:val="000000"/>
          <w:sz w:val="36"/>
          <w:szCs w:val="36"/>
        </w:rPr>
      </w:pPr>
      <w:r w:rsidRPr="00CE6B0B">
        <w:rPr>
          <w:rFonts w:ascii="Tahoma" w:eastAsia="Times New Roman" w:hAnsi="Tahoma" w:cs="Tahoma"/>
          <w:b/>
          <w:bCs/>
          <w:color w:val="000000"/>
          <w:sz w:val="36"/>
          <w:szCs w:val="36"/>
        </w:rPr>
        <w:lastRenderedPageBreak/>
        <w:t>Методические материалы других федеральных органов власти</w:t>
      </w:r>
    </w:p>
    <w:p w:rsidR="00CE6B0B" w:rsidRDefault="00B96FAE" w:rsidP="00CE6B0B">
      <w:pPr>
        <w:shd w:val="clear" w:color="auto" w:fill="FFFFFF"/>
        <w:spacing w:before="100" w:beforeAutospacing="1" w:after="461" w:line="323" w:lineRule="atLeast"/>
        <w:jc w:val="both"/>
        <w:rPr>
          <w:rFonts w:ascii="Tahoma" w:eastAsia="Times New Roman" w:hAnsi="Tahoma" w:cs="Tahoma"/>
          <w:color w:val="0070B7"/>
          <w:sz w:val="21"/>
          <w:u w:val="single"/>
        </w:rPr>
      </w:pPr>
      <w:hyperlink r:id="rId53" w:tgtFrame="_blank" w:history="1">
        <w:r w:rsidR="00CE6B0B" w:rsidRPr="00CE6B0B">
          <w:rPr>
            <w:rFonts w:ascii="Tahoma" w:eastAsia="Times New Roman" w:hAnsi="Tahoma" w:cs="Tahoma"/>
            <w:color w:val="0070B7"/>
            <w:sz w:val="21"/>
            <w:u w:val="single"/>
          </w:rPr>
          <w:t>Методические рекомендации об организации взаимодействия контрольно-надзорных органов, органов, осуществляющих оперативно-розыскную деятельность, и органов следствия с органами прокуратуры при выявлении признаков правонарушений, предусмотренных статьей 19.28 КоАП РФ, и при расследовании дел об административных правонарушениях указанной категории</w:t>
        </w:r>
      </w:hyperlink>
    </w:p>
    <w:p w:rsidR="00644D35" w:rsidRDefault="00644D35" w:rsidP="00CE6B0B">
      <w:pPr>
        <w:shd w:val="clear" w:color="auto" w:fill="FFFFFF"/>
        <w:spacing w:before="100" w:beforeAutospacing="1" w:after="461" w:line="323" w:lineRule="atLeast"/>
        <w:jc w:val="both"/>
      </w:pPr>
      <w:hyperlink r:id="rId54" w:tgtFrame="_self" w:tooltip="" w:history="1">
        <w:r w:rsidRPr="00644D35">
          <w:rPr>
            <w:rFonts w:ascii="Golos" w:hAnsi="Golos"/>
            <w:color w:val="0000FF"/>
            <w:sz w:val="27"/>
            <w:szCs w:val="27"/>
            <w:shd w:val="clear" w:color="auto" w:fill="FFFFFF"/>
          </w:rPr>
          <w:t>Памятка «Что нужно знать о коррупции» (разработана Генеральной прокуратурой Российской Федерации)</w:t>
        </w:r>
      </w:hyperlink>
    </w:p>
    <w:p w:rsidR="00644D35" w:rsidRPr="00CE6B0B" w:rsidRDefault="00644D35" w:rsidP="00CE6B0B">
      <w:pPr>
        <w:shd w:val="clear" w:color="auto" w:fill="FFFFFF"/>
        <w:spacing w:before="100" w:beforeAutospacing="1" w:after="461" w:line="323" w:lineRule="atLeast"/>
        <w:jc w:val="both"/>
        <w:rPr>
          <w:rFonts w:ascii="Tahoma" w:eastAsia="Times New Roman" w:hAnsi="Tahoma" w:cs="Tahoma"/>
          <w:color w:val="000000"/>
          <w:sz w:val="21"/>
          <w:szCs w:val="21"/>
        </w:rPr>
      </w:pPr>
      <w:hyperlink r:id="rId55" w:tgtFrame="_self" w:tooltip="" w:history="1">
        <w:r w:rsidRPr="00644D35">
          <w:rPr>
            <w:rFonts w:ascii="Golos" w:hAnsi="Golos"/>
            <w:color w:val="0000FF"/>
            <w:sz w:val="27"/>
            <w:szCs w:val="27"/>
            <w:shd w:val="clear" w:color="auto" w:fill="FFFFFF"/>
          </w:rPr>
          <w:t>Памятка «Административная ответственность юридических лиц за совершение правонарушений коррупционной направленности»</w:t>
        </w:r>
      </w:hyperlink>
      <w:bookmarkStart w:id="0" w:name="_GoBack"/>
      <w:bookmarkEnd w:id="0"/>
    </w:p>
    <w:p w:rsidR="009D0657" w:rsidRDefault="009D0657"/>
    <w:sectPr w:rsidR="009D0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CE6B0B"/>
    <w:rsid w:val="00121D2F"/>
    <w:rsid w:val="00197F51"/>
    <w:rsid w:val="003B447E"/>
    <w:rsid w:val="00644D35"/>
    <w:rsid w:val="009D0657"/>
    <w:rsid w:val="00B96FAE"/>
    <w:rsid w:val="00BE639A"/>
    <w:rsid w:val="00CE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6B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6B0B"/>
    <w:rPr>
      <w:rFonts w:ascii="Times New Roman" w:eastAsia="Times New Roman" w:hAnsi="Times New Roman" w:cs="Times New Roman"/>
      <w:b/>
      <w:bCs/>
      <w:sz w:val="36"/>
      <w:szCs w:val="36"/>
    </w:rPr>
  </w:style>
  <w:style w:type="paragraph" w:styleId="a3">
    <w:name w:val="Normal (Web)"/>
    <w:basedOn w:val="a"/>
    <w:uiPriority w:val="99"/>
    <w:semiHidden/>
    <w:unhideWhenUsed/>
    <w:rsid w:val="00CE6B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E6B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2238">
      <w:bodyDiv w:val="1"/>
      <w:marLeft w:val="0"/>
      <w:marRight w:val="0"/>
      <w:marTop w:val="0"/>
      <w:marBottom w:val="0"/>
      <w:divBdr>
        <w:top w:val="none" w:sz="0" w:space="0" w:color="auto"/>
        <w:left w:val="none" w:sz="0" w:space="0" w:color="auto"/>
        <w:bottom w:val="none" w:sz="0" w:space="0" w:color="auto"/>
        <w:right w:val="none" w:sz="0" w:space="0" w:color="auto"/>
      </w:divBdr>
      <w:divsChild>
        <w:div w:id="1472675706">
          <w:marLeft w:val="360"/>
          <w:marRight w:val="0"/>
          <w:marTop w:val="0"/>
          <w:marBottom w:val="480"/>
          <w:divBdr>
            <w:top w:val="none" w:sz="0" w:space="0" w:color="auto"/>
            <w:left w:val="none" w:sz="0" w:space="0" w:color="auto"/>
            <w:bottom w:val="none" w:sz="0" w:space="0" w:color="auto"/>
            <w:right w:val="none" w:sz="0" w:space="0" w:color="auto"/>
          </w:divBdr>
          <w:divsChild>
            <w:div w:id="1411075303">
              <w:marLeft w:val="0"/>
              <w:marRight w:val="0"/>
              <w:marTop w:val="0"/>
              <w:marBottom w:val="0"/>
              <w:divBdr>
                <w:top w:val="none" w:sz="0" w:space="0" w:color="auto"/>
                <w:left w:val="none" w:sz="0" w:space="0" w:color="auto"/>
                <w:bottom w:val="none" w:sz="0" w:space="0" w:color="auto"/>
                <w:right w:val="none" w:sz="0" w:space="0" w:color="auto"/>
              </w:divBdr>
              <w:divsChild>
                <w:div w:id="943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2199">
          <w:marLeft w:val="360"/>
          <w:marRight w:val="0"/>
          <w:marTop w:val="0"/>
          <w:marBottom w:val="480"/>
          <w:divBdr>
            <w:top w:val="none" w:sz="0" w:space="0" w:color="auto"/>
            <w:left w:val="none" w:sz="0" w:space="0" w:color="auto"/>
            <w:bottom w:val="none" w:sz="0" w:space="0" w:color="auto"/>
            <w:right w:val="none" w:sz="0" w:space="0" w:color="auto"/>
          </w:divBdr>
          <w:divsChild>
            <w:div w:id="1412965007">
              <w:marLeft w:val="0"/>
              <w:marRight w:val="0"/>
              <w:marTop w:val="0"/>
              <w:marBottom w:val="0"/>
              <w:divBdr>
                <w:top w:val="none" w:sz="0" w:space="0" w:color="auto"/>
                <w:left w:val="none" w:sz="0" w:space="0" w:color="auto"/>
                <w:bottom w:val="none" w:sz="0" w:space="0" w:color="auto"/>
                <w:right w:val="none" w:sz="0" w:space="0" w:color="auto"/>
              </w:divBdr>
              <w:divsChild>
                <w:div w:id="10304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7201">
          <w:marLeft w:val="360"/>
          <w:marRight w:val="0"/>
          <w:marTop w:val="0"/>
          <w:marBottom w:val="480"/>
          <w:divBdr>
            <w:top w:val="none" w:sz="0" w:space="0" w:color="auto"/>
            <w:left w:val="none" w:sz="0" w:space="0" w:color="auto"/>
            <w:bottom w:val="none" w:sz="0" w:space="0" w:color="auto"/>
            <w:right w:val="none" w:sz="0" w:space="0" w:color="auto"/>
          </w:divBdr>
          <w:divsChild>
            <w:div w:id="1794598653">
              <w:marLeft w:val="0"/>
              <w:marRight w:val="0"/>
              <w:marTop w:val="0"/>
              <w:marBottom w:val="0"/>
              <w:divBdr>
                <w:top w:val="none" w:sz="0" w:space="0" w:color="auto"/>
                <w:left w:val="none" w:sz="0" w:space="0" w:color="auto"/>
                <w:bottom w:val="none" w:sz="0" w:space="0" w:color="auto"/>
                <w:right w:val="none" w:sz="0" w:space="0" w:color="auto"/>
              </w:divBdr>
              <w:divsChild>
                <w:div w:id="16144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41231">
          <w:marLeft w:val="360"/>
          <w:marRight w:val="0"/>
          <w:marTop w:val="0"/>
          <w:marBottom w:val="480"/>
          <w:divBdr>
            <w:top w:val="none" w:sz="0" w:space="0" w:color="auto"/>
            <w:left w:val="none" w:sz="0" w:space="0" w:color="auto"/>
            <w:bottom w:val="none" w:sz="0" w:space="0" w:color="auto"/>
            <w:right w:val="none" w:sz="0" w:space="0" w:color="auto"/>
          </w:divBdr>
          <w:divsChild>
            <w:div w:id="1755472743">
              <w:marLeft w:val="0"/>
              <w:marRight w:val="0"/>
              <w:marTop w:val="0"/>
              <w:marBottom w:val="0"/>
              <w:divBdr>
                <w:top w:val="none" w:sz="0" w:space="0" w:color="auto"/>
                <w:left w:val="none" w:sz="0" w:space="0" w:color="auto"/>
                <w:bottom w:val="none" w:sz="0" w:space="0" w:color="auto"/>
                <w:right w:val="none" w:sz="0" w:space="0" w:color="auto"/>
              </w:divBdr>
              <w:divsChild>
                <w:div w:id="1223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8274">
          <w:marLeft w:val="360"/>
          <w:marRight w:val="0"/>
          <w:marTop w:val="0"/>
          <w:marBottom w:val="480"/>
          <w:divBdr>
            <w:top w:val="none" w:sz="0" w:space="0" w:color="auto"/>
            <w:left w:val="none" w:sz="0" w:space="0" w:color="auto"/>
            <w:bottom w:val="none" w:sz="0" w:space="0" w:color="auto"/>
            <w:right w:val="none" w:sz="0" w:space="0" w:color="auto"/>
          </w:divBdr>
          <w:divsChild>
            <w:div w:id="1579439458">
              <w:marLeft w:val="0"/>
              <w:marRight w:val="0"/>
              <w:marTop w:val="0"/>
              <w:marBottom w:val="0"/>
              <w:divBdr>
                <w:top w:val="none" w:sz="0" w:space="0" w:color="auto"/>
                <w:left w:val="none" w:sz="0" w:space="0" w:color="auto"/>
                <w:bottom w:val="none" w:sz="0" w:space="0" w:color="auto"/>
                <w:right w:val="none" w:sz="0" w:space="0" w:color="auto"/>
              </w:divBdr>
              <w:divsChild>
                <w:div w:id="7240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897">
      <w:bodyDiv w:val="1"/>
      <w:marLeft w:val="0"/>
      <w:marRight w:val="0"/>
      <w:marTop w:val="0"/>
      <w:marBottom w:val="0"/>
      <w:divBdr>
        <w:top w:val="none" w:sz="0" w:space="0" w:color="auto"/>
        <w:left w:val="none" w:sz="0" w:space="0" w:color="auto"/>
        <w:bottom w:val="none" w:sz="0" w:space="0" w:color="auto"/>
        <w:right w:val="none" w:sz="0" w:space="0" w:color="auto"/>
      </w:divBdr>
      <w:divsChild>
        <w:div w:id="1152672599">
          <w:marLeft w:val="360"/>
          <w:marRight w:val="0"/>
          <w:marTop w:val="0"/>
          <w:marBottom w:val="480"/>
          <w:divBdr>
            <w:top w:val="none" w:sz="0" w:space="0" w:color="auto"/>
            <w:left w:val="none" w:sz="0" w:space="0" w:color="auto"/>
            <w:bottom w:val="none" w:sz="0" w:space="0" w:color="auto"/>
            <w:right w:val="none" w:sz="0" w:space="0" w:color="auto"/>
          </w:divBdr>
          <w:divsChild>
            <w:div w:id="947856758">
              <w:marLeft w:val="0"/>
              <w:marRight w:val="0"/>
              <w:marTop w:val="0"/>
              <w:marBottom w:val="0"/>
              <w:divBdr>
                <w:top w:val="none" w:sz="0" w:space="0" w:color="auto"/>
                <w:left w:val="none" w:sz="0" w:space="0" w:color="auto"/>
                <w:bottom w:val="none" w:sz="0" w:space="0" w:color="auto"/>
                <w:right w:val="none" w:sz="0" w:space="0" w:color="auto"/>
              </w:divBdr>
              <w:divsChild>
                <w:div w:id="15881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503">
          <w:marLeft w:val="360"/>
          <w:marRight w:val="0"/>
          <w:marTop w:val="0"/>
          <w:marBottom w:val="480"/>
          <w:divBdr>
            <w:top w:val="none" w:sz="0" w:space="0" w:color="auto"/>
            <w:left w:val="none" w:sz="0" w:space="0" w:color="auto"/>
            <w:bottom w:val="none" w:sz="0" w:space="0" w:color="auto"/>
            <w:right w:val="none" w:sz="0" w:space="0" w:color="auto"/>
          </w:divBdr>
          <w:divsChild>
            <w:div w:id="1712457391">
              <w:marLeft w:val="0"/>
              <w:marRight w:val="0"/>
              <w:marTop w:val="0"/>
              <w:marBottom w:val="0"/>
              <w:divBdr>
                <w:top w:val="none" w:sz="0" w:space="0" w:color="auto"/>
                <w:left w:val="none" w:sz="0" w:space="0" w:color="auto"/>
                <w:bottom w:val="none" w:sz="0" w:space="0" w:color="auto"/>
                <w:right w:val="none" w:sz="0" w:space="0" w:color="auto"/>
              </w:divBdr>
              <w:divsChild>
                <w:div w:id="8883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0169">
          <w:marLeft w:val="360"/>
          <w:marRight w:val="0"/>
          <w:marTop w:val="0"/>
          <w:marBottom w:val="480"/>
          <w:divBdr>
            <w:top w:val="none" w:sz="0" w:space="0" w:color="auto"/>
            <w:left w:val="none" w:sz="0" w:space="0" w:color="auto"/>
            <w:bottom w:val="none" w:sz="0" w:space="0" w:color="auto"/>
            <w:right w:val="none" w:sz="0" w:space="0" w:color="auto"/>
          </w:divBdr>
          <w:divsChild>
            <w:div w:id="912468389">
              <w:marLeft w:val="0"/>
              <w:marRight w:val="0"/>
              <w:marTop w:val="0"/>
              <w:marBottom w:val="0"/>
              <w:divBdr>
                <w:top w:val="none" w:sz="0" w:space="0" w:color="auto"/>
                <w:left w:val="none" w:sz="0" w:space="0" w:color="auto"/>
                <w:bottom w:val="none" w:sz="0" w:space="0" w:color="auto"/>
                <w:right w:val="none" w:sz="0" w:space="0" w:color="auto"/>
              </w:divBdr>
              <w:divsChild>
                <w:div w:id="19748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382">
          <w:marLeft w:val="360"/>
          <w:marRight w:val="0"/>
          <w:marTop w:val="0"/>
          <w:marBottom w:val="480"/>
          <w:divBdr>
            <w:top w:val="none" w:sz="0" w:space="0" w:color="auto"/>
            <w:left w:val="none" w:sz="0" w:space="0" w:color="auto"/>
            <w:bottom w:val="none" w:sz="0" w:space="0" w:color="auto"/>
            <w:right w:val="none" w:sz="0" w:space="0" w:color="auto"/>
          </w:divBdr>
          <w:divsChild>
            <w:div w:id="1521897376">
              <w:marLeft w:val="0"/>
              <w:marRight w:val="0"/>
              <w:marTop w:val="0"/>
              <w:marBottom w:val="0"/>
              <w:divBdr>
                <w:top w:val="none" w:sz="0" w:space="0" w:color="auto"/>
                <w:left w:val="none" w:sz="0" w:space="0" w:color="auto"/>
                <w:bottom w:val="none" w:sz="0" w:space="0" w:color="auto"/>
                <w:right w:val="none" w:sz="0" w:space="0" w:color="auto"/>
              </w:divBdr>
              <w:divsChild>
                <w:div w:id="8185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l.ru/anti-corruption/meth_materials/more.htm?id=12010680@cmsArticle" TargetMode="External"/><Relationship Id="rId18" Type="http://schemas.openxmlformats.org/officeDocument/2006/relationships/hyperlink" Target="https://mil.ru/docs/5ef53e43-2169-4eaf-950e-aaf8c8317e59" TargetMode="External"/><Relationship Id="rId26" Type="http://schemas.openxmlformats.org/officeDocument/2006/relationships/hyperlink" Target="https://mil.ru/docs/20eabef3-15cf-43bf-85b4-f91133de54f6" TargetMode="External"/><Relationship Id="rId39" Type="http://schemas.openxmlformats.org/officeDocument/2006/relationships/hyperlink" Target="http://mil.ru/anti-corruption/meth_materials/more.htm?id=12062329@cmsArticle" TargetMode="External"/><Relationship Id="rId21" Type="http://schemas.openxmlformats.org/officeDocument/2006/relationships/hyperlink" Target="https://mil.ru/docs/5fdd454d-bdaa-4768-9b22-51a6bae908f2" TargetMode="External"/><Relationship Id="rId34" Type="http://schemas.openxmlformats.org/officeDocument/2006/relationships/hyperlink" Target="http://mil.ru/anti-corruption/meth_materials/more.htm?id=11683016@cmsArticle" TargetMode="External"/><Relationship Id="rId42" Type="http://schemas.openxmlformats.org/officeDocument/2006/relationships/hyperlink" Target="http://mil.ru/anti-corruption/meth_materials/more.htm?id=12062386@cmsArticle" TargetMode="External"/><Relationship Id="rId47" Type="http://schemas.openxmlformats.org/officeDocument/2006/relationships/hyperlink" Target="http://mil.ru/anti-corruption/meth_materials/more.htm?id=11999035@cmsArticle" TargetMode="External"/><Relationship Id="rId50" Type="http://schemas.openxmlformats.org/officeDocument/2006/relationships/hyperlink" Target="https://mil.ru/docs/80b9c869-156b-462b-816e-c9e857f7e0bb" TargetMode="External"/><Relationship Id="rId55" Type="http://schemas.openxmlformats.org/officeDocument/2006/relationships/hyperlink" Target="https://mil.ru/storage/anti-corruption/meth_materials/%D0%B0%D0%B4%D0%BC%D0%B8%D0%BD%D0%B8%D1%81%D1%82%D1%80%D0%B0%D1%82%D0%B8%D0%B2%D0%BD%D0%B0%D1%8F%20%D0%BE%D1%82%D0%B2%D0%B5%D1%82%D1%81%D1%82%D0%B2%D0%B5%D0%BD%D0%BD%D0%BE%D1%81%D1%82%D1%8C.pdf" TargetMode="External"/><Relationship Id="rId7" Type="http://schemas.openxmlformats.org/officeDocument/2006/relationships/hyperlink" Target="http://mil.ru/anti-corruption/meth_materials/more.htm?id=11887840@cmsArticle" TargetMode="External"/><Relationship Id="rId2" Type="http://schemas.microsoft.com/office/2007/relationships/stylesWithEffects" Target="stylesWithEffects.xml"/><Relationship Id="rId16" Type="http://schemas.openxmlformats.org/officeDocument/2006/relationships/hyperlink" Target="https://mil.ru/docs/07321351-7508-4366-9b26-cb19871c6522" TargetMode="External"/><Relationship Id="rId29" Type="http://schemas.openxmlformats.org/officeDocument/2006/relationships/hyperlink" Target="http://mil.ru/anti-corruption/meth_materials/more.htm?id=12062230@cmsArticle" TargetMode="External"/><Relationship Id="rId11" Type="http://schemas.openxmlformats.org/officeDocument/2006/relationships/hyperlink" Target="http://mil.ru/anti-corruption/meth_materials/more.htm?id=11692994@cmsArticle" TargetMode="External"/><Relationship Id="rId24" Type="http://schemas.openxmlformats.org/officeDocument/2006/relationships/hyperlink" Target="https://mil.ru/docs/c92ba420-18a3-49bb-8e4b-5bbd42d98d6b" TargetMode="External"/><Relationship Id="rId32" Type="http://schemas.openxmlformats.org/officeDocument/2006/relationships/hyperlink" Target="http://mil.ru/anti-corruption/meth_materials/more.htm?id=12062278@cmsArticle" TargetMode="External"/><Relationship Id="rId37" Type="http://schemas.openxmlformats.org/officeDocument/2006/relationships/hyperlink" Target="http://mil.ru/anti-corruption/meth_materials/more.htm?id=12062325@cmsArticle" TargetMode="External"/><Relationship Id="rId40" Type="http://schemas.openxmlformats.org/officeDocument/2006/relationships/hyperlink" Target="http://mil.ru/anti-corruption/meth_materials/more.htm?id=12062331@cmsArticle" TargetMode="External"/><Relationship Id="rId45" Type="http://schemas.openxmlformats.org/officeDocument/2006/relationships/hyperlink" Target="http://mil.ru/anti-corruption/meth_materials/more.htm?id=12062339@cmsArticle" TargetMode="External"/><Relationship Id="rId53" Type="http://schemas.openxmlformats.org/officeDocument/2006/relationships/hyperlink" Target="http://mil.ru/anti-corruption/meth_materials/more.htm?id=12034573@cmsArticle" TargetMode="External"/><Relationship Id="rId5" Type="http://schemas.openxmlformats.org/officeDocument/2006/relationships/hyperlink" Target="http://mil.ru/anti-corruption/meth_materials/more.htm?id=11695042@cmsArticle" TargetMode="External"/><Relationship Id="rId19" Type="http://schemas.openxmlformats.org/officeDocument/2006/relationships/hyperlink" Target="https://mil.ru/docs/bd90a18b-f8f7-4c39-aa5f-c6392cbf9a8c" TargetMode="External"/><Relationship Id="rId4" Type="http://schemas.openxmlformats.org/officeDocument/2006/relationships/webSettings" Target="webSettings.xml"/><Relationship Id="rId9" Type="http://schemas.openxmlformats.org/officeDocument/2006/relationships/hyperlink" Target="http://mil.ru/anti-corruption/meth_materials/more.htm?id=11635472@cmsArticle" TargetMode="External"/><Relationship Id="rId14" Type="http://schemas.openxmlformats.org/officeDocument/2006/relationships/hyperlink" Target="http://mil.ru/anti-corruption/meth_materials/more.htm?id=12036375@cmsArticle" TargetMode="External"/><Relationship Id="rId22" Type="http://schemas.openxmlformats.org/officeDocument/2006/relationships/hyperlink" Target="https://mil.ru/docs/67e08e5f-26ea-4482-9b10-9d6bc2ba6a85" TargetMode="External"/><Relationship Id="rId27" Type="http://schemas.openxmlformats.org/officeDocument/2006/relationships/hyperlink" Target="http://mil.ru/anti-corruption/meth_materials/more.htm?id=12062175@cmsArticle" TargetMode="External"/><Relationship Id="rId30" Type="http://schemas.openxmlformats.org/officeDocument/2006/relationships/hyperlink" Target="http://mil.ru/anti-corruption/meth_materials/more.htm?id=12062270@cmsArticle" TargetMode="External"/><Relationship Id="rId35" Type="http://schemas.openxmlformats.org/officeDocument/2006/relationships/hyperlink" Target="http://mil.ru/anti-corruption/meth_materials/more.htm?id=12062323@cmsArticle" TargetMode="External"/><Relationship Id="rId43" Type="http://schemas.openxmlformats.org/officeDocument/2006/relationships/hyperlink" Target="http://mil.ru/anti-corruption/meth_materials/more.htm?id=12062335@cmsArticle" TargetMode="External"/><Relationship Id="rId48" Type="http://schemas.openxmlformats.org/officeDocument/2006/relationships/hyperlink" Target="http://mil.ru/anti-corruption/meth_materials/more.htm?id=11999043@cmsArticle" TargetMode="External"/><Relationship Id="rId56" Type="http://schemas.openxmlformats.org/officeDocument/2006/relationships/fontTable" Target="fontTable.xml"/><Relationship Id="rId8" Type="http://schemas.openxmlformats.org/officeDocument/2006/relationships/hyperlink" Target="http://mil.ru/anti-corruption/meth_materials/more.htm?id=11969989@cmsArticle" TargetMode="External"/><Relationship Id="rId51" Type="http://schemas.openxmlformats.org/officeDocument/2006/relationships/hyperlink" Target="https://mil.ru/docs/a1bdf570-7b0c-4b99-a23b-025e956ce38a" TargetMode="External"/><Relationship Id="rId3" Type="http://schemas.openxmlformats.org/officeDocument/2006/relationships/settings" Target="settings.xml"/><Relationship Id="rId12" Type="http://schemas.openxmlformats.org/officeDocument/2006/relationships/hyperlink" Target="http://mil.ru/anti-corruption/meth_materials/more.htm?id=12005977@cmsArticle" TargetMode="External"/><Relationship Id="rId17" Type="http://schemas.openxmlformats.org/officeDocument/2006/relationships/hyperlink" Target="https://mil.ru/docs/c215a6f2-f146-46e8-8d1b-0c43cdbfa6b5" TargetMode="External"/><Relationship Id="rId25" Type="http://schemas.openxmlformats.org/officeDocument/2006/relationships/hyperlink" Target="https://mil.ru/docs/017e8acf-8eae-4623-acd2-b3101b385159" TargetMode="External"/><Relationship Id="rId33" Type="http://schemas.openxmlformats.org/officeDocument/2006/relationships/hyperlink" Target="http://mil.ru/anti-corruption/meth_materials/more.htm?id=12062321@cmsArticle" TargetMode="External"/><Relationship Id="rId38" Type="http://schemas.openxmlformats.org/officeDocument/2006/relationships/hyperlink" Target="http://mil.ru/anti-corruption/meth_materials/more.htm?id=12062327@cmsArticle" TargetMode="External"/><Relationship Id="rId46" Type="http://schemas.openxmlformats.org/officeDocument/2006/relationships/hyperlink" Target="http://mil.ru/anti-corruption/meth_materials/more.htm?id=12062341@cmsArticle" TargetMode="External"/><Relationship Id="rId20" Type="http://schemas.openxmlformats.org/officeDocument/2006/relationships/hyperlink" Target="https://mil.ru/docs/af5dae1d-2b7f-4f54-b7f7-ed57b02fdbf0" TargetMode="External"/><Relationship Id="rId41" Type="http://schemas.openxmlformats.org/officeDocument/2006/relationships/hyperlink" Target="http://mil.ru/anti-corruption/meth_materials/more.htm?id=12062333@cmsArticle" TargetMode="External"/><Relationship Id="rId54" Type="http://schemas.openxmlformats.org/officeDocument/2006/relationships/hyperlink" Target="https://mil.ru/docs/989aecc4-60d0-4caf-a740-2dda4a5b1eb5" TargetMode="External"/><Relationship Id="rId1" Type="http://schemas.openxmlformats.org/officeDocument/2006/relationships/styles" Target="styles.xml"/><Relationship Id="rId6" Type="http://schemas.openxmlformats.org/officeDocument/2006/relationships/hyperlink" Target="http://mil.ru/anti-corruption/meth_materials/more.htm?id=11856761@cmsArticle" TargetMode="External"/><Relationship Id="rId15" Type="http://schemas.openxmlformats.org/officeDocument/2006/relationships/hyperlink" Target="https://mil.ru/docs/0770f04b-71ec-4dfe-9273-3af961c7c7e9" TargetMode="External"/><Relationship Id="rId23" Type="http://schemas.openxmlformats.org/officeDocument/2006/relationships/hyperlink" Target="https://mil.ru/docs/09b90070-9410-4c92-9626-80300cac2e2f" TargetMode="External"/><Relationship Id="rId28" Type="http://schemas.openxmlformats.org/officeDocument/2006/relationships/hyperlink" Target="http://mil.ru/anti-corruption/meth_materials/more.htm?id=11635463@cmsArticle" TargetMode="External"/><Relationship Id="rId36" Type="http://schemas.openxmlformats.org/officeDocument/2006/relationships/hyperlink" Target="http://mil.ru/anti-corruption/meth_materials/more.htm?id=11683057@cmsArticle" TargetMode="External"/><Relationship Id="rId49" Type="http://schemas.openxmlformats.org/officeDocument/2006/relationships/hyperlink" Target="https://mil.ru/docs/ff56961c-5a64-40d7-8aa2-d1b2d9899a99" TargetMode="External"/><Relationship Id="rId57" Type="http://schemas.openxmlformats.org/officeDocument/2006/relationships/theme" Target="theme/theme1.xml"/><Relationship Id="rId10" Type="http://schemas.openxmlformats.org/officeDocument/2006/relationships/hyperlink" Target="http://mil.ru/anti-corruption/meth_materials/more.htm?id=11635481@cmsArticle" TargetMode="External"/><Relationship Id="rId31" Type="http://schemas.openxmlformats.org/officeDocument/2006/relationships/hyperlink" Target="http://mil.ru/anti-corruption/meth_materials/more.htm?id=12062275@cmsArticle" TargetMode="External"/><Relationship Id="rId44" Type="http://schemas.openxmlformats.org/officeDocument/2006/relationships/hyperlink" Target="http://mil.ru/anti-corruption/meth_materials/more.htm?id=12062337@cmsArticle" TargetMode="External"/><Relationship Id="rId52" Type="http://schemas.openxmlformats.org/officeDocument/2006/relationships/hyperlink" Target="https://mil.ru/docs/13a4d40e-531c-4484-9f36-6eb1dfdbf0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2953</Words>
  <Characters>16834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2026-01-30T08:48:00Z</dcterms:created>
  <dcterms:modified xsi:type="dcterms:W3CDTF">2026-01-30T08:48:00Z</dcterms:modified>
</cp:coreProperties>
</file>